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304999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 xml:space="preserve">Electronic Meeting, 17 </w:t>
      </w:r>
      <w:r>
        <w:rPr>
          <w:rFonts w:ascii="Arial" w:hAnsi="Arial" w:cs="Arial"/>
          <w:b/>
          <w:bCs/>
          <w:sz w:val="24"/>
          <w:szCs w:val="24"/>
        </w:rPr>
        <w:t>–</w:t>
      </w:r>
      <w:r>
        <w:rPr>
          <w:rFonts w:hint="eastAsia" w:ascii="Arial" w:hAnsi="Arial" w:eastAsia="宋体" w:cs="Arial"/>
          <w:b/>
          <w:bCs/>
          <w:sz w:val="24"/>
          <w:szCs w:val="24"/>
          <w:lang w:val="en-US" w:eastAsia="zh-CN"/>
        </w:rPr>
        <w:t xml:space="preserve"> </w:t>
      </w:r>
      <w:r>
        <w:rPr>
          <w:rFonts w:hint="eastAsia" w:ascii="Arial" w:hAnsi="Arial" w:eastAsia="宋体" w:cs="Arial"/>
          <w:b/>
          <w:sz w:val="24"/>
          <w:szCs w:val="24"/>
          <w:highlight w:val="none"/>
          <w:lang w:val="en-US" w:eastAsia="zh-CN"/>
        </w:rPr>
        <w:t>26 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Receive timing difference between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5.8.3.6</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last RAN4 meeting, RAN4 has discussed the MRTD issue for multi-panel/multi-beam reception.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6"/>
              </w:numPr>
              <w:overflowPunct w:val="0"/>
              <w:autoSpaceDE w:val="0"/>
              <w:autoSpaceDN w:val="0"/>
              <w:adjustRightInd w:val="0"/>
              <w:spacing w:after="120" w:line="252" w:lineRule="auto"/>
              <w:ind w:left="644" w:firstLineChars="0"/>
              <w:rPr>
                <w:lang w:eastAsia="ja-JP"/>
              </w:rPr>
            </w:pPr>
            <w:r>
              <w:rPr>
                <w:lang w:eastAsia="ja-JP"/>
              </w:rPr>
              <w:t>Agreements in online session:</w:t>
            </w:r>
          </w:p>
          <w:p>
            <w:pPr>
              <w:pStyle w:val="27"/>
              <w:numPr>
                <w:ilvl w:val="1"/>
                <w:numId w:val="6"/>
              </w:numPr>
              <w:overflowPunct w:val="0"/>
              <w:autoSpaceDE w:val="0"/>
              <w:autoSpaceDN w:val="0"/>
              <w:adjustRightInd w:val="0"/>
              <w:spacing w:after="120" w:line="252" w:lineRule="auto"/>
              <w:ind w:firstLineChars="0"/>
              <w:rPr>
                <w:lang w:eastAsia="ja-JP"/>
              </w:rPr>
            </w:pPr>
            <w:r>
              <w:rPr>
                <w:rFonts w:eastAsia="游明朝"/>
                <w:iCs/>
              </w:rPr>
              <w:t>Define RRM requirements for MRTD &lt; CP</w:t>
            </w:r>
          </w:p>
          <w:p>
            <w:pPr>
              <w:pStyle w:val="27"/>
              <w:numPr>
                <w:ilvl w:val="1"/>
                <w:numId w:val="6"/>
              </w:numPr>
              <w:overflowPunct w:val="0"/>
              <w:autoSpaceDE w:val="0"/>
              <w:autoSpaceDN w:val="0"/>
              <w:adjustRightInd w:val="0"/>
              <w:spacing w:after="120" w:line="252" w:lineRule="auto"/>
              <w:ind w:firstLineChars="0"/>
              <w:rPr>
                <w:lang w:eastAsia="ja-JP"/>
              </w:rPr>
            </w:pPr>
            <w:r>
              <w:rPr>
                <w:rFonts w:eastAsia="游明朝"/>
                <w:iCs/>
              </w:rPr>
              <w:t>FFS whether to support MRTD &gt; CP and the discussion can take place after RAN4 #107</w:t>
            </w:r>
          </w:p>
          <w:p>
            <w:pPr>
              <w:pStyle w:val="27"/>
              <w:numPr>
                <w:ilvl w:val="1"/>
                <w:numId w:val="6"/>
              </w:numPr>
              <w:overflowPunct w:val="0"/>
              <w:autoSpaceDE w:val="0"/>
              <w:autoSpaceDN w:val="0"/>
              <w:adjustRightInd w:val="0"/>
              <w:spacing w:after="120" w:line="252" w:lineRule="auto"/>
              <w:ind w:firstLineChars="0"/>
              <w:rPr>
                <w:rFonts w:hint="eastAsia" w:eastAsia="宋体"/>
                <w:color w:val="auto"/>
                <w:sz w:val="20"/>
                <w:szCs w:val="20"/>
                <w:vertAlign w:val="baseline"/>
                <w:lang w:val="en-US" w:eastAsia="zh-CN"/>
              </w:rPr>
            </w:pPr>
            <w:r>
              <w:rPr>
                <w:rFonts w:eastAsia="游明朝"/>
                <w:iCs/>
              </w:rPr>
              <w:t>Note: the MRTD above is the maximum receive time difference between the signals coming from two directions on the same carrier</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paper, we provide some further discussion on the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After the discussion in last meeting, the remaining controversy is whether to support the case of receiving timing difference beyond CP in this WI. In our opinion, which is closely related with the supported scenario. If inter-cell mTRP is decided to be included in this WI, then the possibility of the receiving timing difference larger than CP exists. From the perspective of UE architecture, based on the assumption of independent RF chain and BB for multi-panel case, not applying any restriction on receiving timing difference is feasible.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From the perspective of UE architecture, based on the assumption of independent RF chain and BB for multi-panel case, not applying any restriction on receiving timing difference is feasible.</w:t>
      </w:r>
    </w:p>
    <w:p>
      <w:pPr>
        <w:pStyle w:val="8"/>
        <w:numPr>
          <w:ilvl w:val="0"/>
          <w:numId w:val="0"/>
        </w:numPr>
        <w:tabs>
          <w:tab w:val="left" w:pos="226"/>
          <w:tab w:val="left" w:pos="284"/>
          <w:tab w:val="left" w:pos="5103"/>
        </w:tabs>
        <w:snapToGrid w:val="0"/>
        <w:spacing w:before="156" w:beforeLines="5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Further more, considering the determination of receiving timing difference, which includes BS TAE and propagation delay difference. So the total receiving timing difference can be seen as a trade-off between BS TAE and propagation delay difference. If we aim to control the total value within CP and support the inter-cell scenario at the same time, then smaller BS TAE should be guaranteed.</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total receiving timing difference can be seen as a trade-off between BS TAE and propagation delay difference. So as to control the total value, then smaller BS TAE should be guaranteed if not restrict the deployment of inter-cell scenario.</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the receiving time difference between multiple panels for simultaneous DL reception from different directions</w:t>
      </w:r>
      <w:r>
        <w:rPr>
          <w:rFonts w:eastAsia="宋体"/>
          <w:bCs/>
          <w:color w:val="auto"/>
          <w:sz w:val="20"/>
          <w:szCs w:val="20"/>
          <w:lang w:val="en-GB" w:eastAsia="zh-CN"/>
        </w:rPr>
        <w:t>:</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inter-cell mTRP is decided to be included in this WI, then the possibility of the receiving timing difference larger than CP exists. </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From the perspective of UE architecture, based on the assumption of independent RF chain and BB for multi-panel case, not applying any restriction on receiving timing difference is feasible.</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bookmarkStart w:id="0" w:name="_GoBack"/>
      <w:r>
        <w:rPr>
          <w:rFonts w:hint="eastAsia" w:eastAsia="宋体" w:cs="Times New Roman"/>
          <w:b/>
          <w:bCs/>
          <w:color w:val="auto"/>
          <w:sz w:val="20"/>
          <w:szCs w:val="20"/>
          <w:highlight w:val="none"/>
          <w:lang w:val="en-US" w:eastAsia="zh-CN" w:bidi="ar-SA"/>
        </w:rPr>
        <w:t>Proposal 3: The total receiving timing difference can be seen as a trade-off between BS TAE and propagation delay difference. So as to control the total value, then smaller BS TAE should be guaranteed if not restrict the deployment of inter-cell scenario.</w:t>
      </w:r>
    </w:p>
    <w:bookmarkEnd w:id="0"/>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 xml:space="preserve">R4-2303317 </w:t>
      </w:r>
      <w:r>
        <w:rPr>
          <w:rFonts w:hint="default"/>
          <w:color w:val="auto"/>
          <w:highlight w:val="none"/>
          <w:lang w:val="en-US" w:eastAsia="zh-CN"/>
        </w:rPr>
        <w:t>“WF on NR FR2 multi-Rx chain DL reception RRM requirements (part 2)”</w:t>
      </w:r>
      <w:r>
        <w:rPr>
          <w:rFonts w:hint="eastAsia"/>
          <w:color w:val="auto"/>
          <w:highlight w:val="none"/>
          <w:lang w:val="en-US" w:eastAsia="zh-CN"/>
        </w:rPr>
        <w:t>, Qualcomm Incorporated.</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7"/>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4"/>
  </w:num>
  <w:num w:numId="4">
    <w:abstractNumId w:val="1"/>
  </w:num>
  <w:num w:numId="5">
    <w:abstractNumId w:val="2"/>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37D0CB3"/>
    <w:rsid w:val="03D4720A"/>
    <w:rsid w:val="03E04DEA"/>
    <w:rsid w:val="04654053"/>
    <w:rsid w:val="04793516"/>
    <w:rsid w:val="047A3CFF"/>
    <w:rsid w:val="04885243"/>
    <w:rsid w:val="04A614F6"/>
    <w:rsid w:val="05317828"/>
    <w:rsid w:val="05477E90"/>
    <w:rsid w:val="05BB5AB9"/>
    <w:rsid w:val="05C42923"/>
    <w:rsid w:val="05F562DB"/>
    <w:rsid w:val="06963BA6"/>
    <w:rsid w:val="06965F3C"/>
    <w:rsid w:val="071C31BC"/>
    <w:rsid w:val="07CD3CDD"/>
    <w:rsid w:val="084B363C"/>
    <w:rsid w:val="0855671D"/>
    <w:rsid w:val="089009EB"/>
    <w:rsid w:val="09395C1E"/>
    <w:rsid w:val="09716BCA"/>
    <w:rsid w:val="098C1CEA"/>
    <w:rsid w:val="09D64B23"/>
    <w:rsid w:val="09E644B8"/>
    <w:rsid w:val="0B12013A"/>
    <w:rsid w:val="0B1C5C6A"/>
    <w:rsid w:val="0B243EFB"/>
    <w:rsid w:val="0B3D3C2F"/>
    <w:rsid w:val="0B5D15B4"/>
    <w:rsid w:val="0BAC06FA"/>
    <w:rsid w:val="0BB0429A"/>
    <w:rsid w:val="0BFF5FC6"/>
    <w:rsid w:val="0C276675"/>
    <w:rsid w:val="0C394019"/>
    <w:rsid w:val="0C443848"/>
    <w:rsid w:val="0CBB2438"/>
    <w:rsid w:val="0CCE34AB"/>
    <w:rsid w:val="0D9D7015"/>
    <w:rsid w:val="0EC91588"/>
    <w:rsid w:val="0F12673C"/>
    <w:rsid w:val="0F8009F9"/>
    <w:rsid w:val="103765F0"/>
    <w:rsid w:val="10997F43"/>
    <w:rsid w:val="10DE7BAE"/>
    <w:rsid w:val="11023BFD"/>
    <w:rsid w:val="110404BB"/>
    <w:rsid w:val="111C20F6"/>
    <w:rsid w:val="11ED345F"/>
    <w:rsid w:val="120774A3"/>
    <w:rsid w:val="12580C13"/>
    <w:rsid w:val="136E2316"/>
    <w:rsid w:val="13A463A1"/>
    <w:rsid w:val="14006D19"/>
    <w:rsid w:val="1414436B"/>
    <w:rsid w:val="1481754F"/>
    <w:rsid w:val="148F5721"/>
    <w:rsid w:val="14AC57CD"/>
    <w:rsid w:val="15ED3E9B"/>
    <w:rsid w:val="15FE3185"/>
    <w:rsid w:val="164514BE"/>
    <w:rsid w:val="166C7059"/>
    <w:rsid w:val="170F06AA"/>
    <w:rsid w:val="17225508"/>
    <w:rsid w:val="180A6E32"/>
    <w:rsid w:val="183F2CD2"/>
    <w:rsid w:val="1856323E"/>
    <w:rsid w:val="18AF55E3"/>
    <w:rsid w:val="18B1519A"/>
    <w:rsid w:val="18CD0507"/>
    <w:rsid w:val="195D7D48"/>
    <w:rsid w:val="19852D03"/>
    <w:rsid w:val="1A6F1A83"/>
    <w:rsid w:val="1AD01A1B"/>
    <w:rsid w:val="1B61065A"/>
    <w:rsid w:val="1B6C3593"/>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2F3D4C"/>
    <w:rsid w:val="21014C39"/>
    <w:rsid w:val="21045DF0"/>
    <w:rsid w:val="21244EB1"/>
    <w:rsid w:val="213964D8"/>
    <w:rsid w:val="21595D04"/>
    <w:rsid w:val="21835807"/>
    <w:rsid w:val="21F13629"/>
    <w:rsid w:val="22957446"/>
    <w:rsid w:val="2305377E"/>
    <w:rsid w:val="231A76D5"/>
    <w:rsid w:val="24122135"/>
    <w:rsid w:val="24D4257E"/>
    <w:rsid w:val="24F5519F"/>
    <w:rsid w:val="2572202B"/>
    <w:rsid w:val="25D109CB"/>
    <w:rsid w:val="2605683C"/>
    <w:rsid w:val="26661176"/>
    <w:rsid w:val="26BB1419"/>
    <w:rsid w:val="27315D1D"/>
    <w:rsid w:val="27B748AA"/>
    <w:rsid w:val="27CB4CB9"/>
    <w:rsid w:val="27D5723B"/>
    <w:rsid w:val="281C2F58"/>
    <w:rsid w:val="292D5BF2"/>
    <w:rsid w:val="292F6239"/>
    <w:rsid w:val="29642C4B"/>
    <w:rsid w:val="29A66B9A"/>
    <w:rsid w:val="2A34628C"/>
    <w:rsid w:val="2A724D05"/>
    <w:rsid w:val="2A7E505C"/>
    <w:rsid w:val="2AAD7E69"/>
    <w:rsid w:val="2AC85686"/>
    <w:rsid w:val="2AD04B5F"/>
    <w:rsid w:val="2B39549B"/>
    <w:rsid w:val="2BC05B2C"/>
    <w:rsid w:val="2BD617C5"/>
    <w:rsid w:val="2C112837"/>
    <w:rsid w:val="2C360608"/>
    <w:rsid w:val="2D127B6F"/>
    <w:rsid w:val="2E014790"/>
    <w:rsid w:val="2EE77680"/>
    <w:rsid w:val="2F2F0FC8"/>
    <w:rsid w:val="2FC61013"/>
    <w:rsid w:val="301C6BB6"/>
    <w:rsid w:val="30723652"/>
    <w:rsid w:val="30766FB2"/>
    <w:rsid w:val="319708F2"/>
    <w:rsid w:val="31B14C9E"/>
    <w:rsid w:val="31FE2981"/>
    <w:rsid w:val="33C522D7"/>
    <w:rsid w:val="33F228A5"/>
    <w:rsid w:val="34807672"/>
    <w:rsid w:val="34D80B99"/>
    <w:rsid w:val="351B1E30"/>
    <w:rsid w:val="358E5935"/>
    <w:rsid w:val="35B06C6A"/>
    <w:rsid w:val="36941AA2"/>
    <w:rsid w:val="36D37423"/>
    <w:rsid w:val="379D23F9"/>
    <w:rsid w:val="37E74183"/>
    <w:rsid w:val="3A054591"/>
    <w:rsid w:val="3A185287"/>
    <w:rsid w:val="3A1F46B8"/>
    <w:rsid w:val="3A692CD0"/>
    <w:rsid w:val="3AE162E7"/>
    <w:rsid w:val="3B270929"/>
    <w:rsid w:val="3B3D5571"/>
    <w:rsid w:val="3B5D276F"/>
    <w:rsid w:val="3B673620"/>
    <w:rsid w:val="3B9A1F29"/>
    <w:rsid w:val="3C2A4F22"/>
    <w:rsid w:val="3CE4646B"/>
    <w:rsid w:val="3D5E7AA8"/>
    <w:rsid w:val="3D6F2596"/>
    <w:rsid w:val="3F7F3061"/>
    <w:rsid w:val="3F975218"/>
    <w:rsid w:val="405F175E"/>
    <w:rsid w:val="40C765F3"/>
    <w:rsid w:val="41C755BE"/>
    <w:rsid w:val="4219614A"/>
    <w:rsid w:val="428104DA"/>
    <w:rsid w:val="42F869D2"/>
    <w:rsid w:val="43553536"/>
    <w:rsid w:val="44972678"/>
    <w:rsid w:val="451632B9"/>
    <w:rsid w:val="45906394"/>
    <w:rsid w:val="45F60A50"/>
    <w:rsid w:val="46142D0C"/>
    <w:rsid w:val="46970A81"/>
    <w:rsid w:val="46B036BF"/>
    <w:rsid w:val="47282363"/>
    <w:rsid w:val="476B3528"/>
    <w:rsid w:val="47C726B0"/>
    <w:rsid w:val="49087C07"/>
    <w:rsid w:val="49DC4EAC"/>
    <w:rsid w:val="49E55BC5"/>
    <w:rsid w:val="4A5B6F0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72021A"/>
    <w:rsid w:val="53A3105E"/>
    <w:rsid w:val="53C64B93"/>
    <w:rsid w:val="540D5091"/>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30C63B9"/>
    <w:rsid w:val="635902CD"/>
    <w:rsid w:val="642A3E76"/>
    <w:rsid w:val="645E1DDB"/>
    <w:rsid w:val="64706BBE"/>
    <w:rsid w:val="64F2095B"/>
    <w:rsid w:val="65267327"/>
    <w:rsid w:val="65D63F94"/>
    <w:rsid w:val="66296AB8"/>
    <w:rsid w:val="66A92706"/>
    <w:rsid w:val="67A858DB"/>
    <w:rsid w:val="67FE4166"/>
    <w:rsid w:val="687E1815"/>
    <w:rsid w:val="68AD2162"/>
    <w:rsid w:val="68C401C3"/>
    <w:rsid w:val="69045D7F"/>
    <w:rsid w:val="693027BF"/>
    <w:rsid w:val="6968769B"/>
    <w:rsid w:val="69831B57"/>
    <w:rsid w:val="69A833BD"/>
    <w:rsid w:val="6A5D78D5"/>
    <w:rsid w:val="6A85354A"/>
    <w:rsid w:val="6C8E0C06"/>
    <w:rsid w:val="6D566F0F"/>
    <w:rsid w:val="6D836F72"/>
    <w:rsid w:val="6DDE3DAF"/>
    <w:rsid w:val="6E2C7D5B"/>
    <w:rsid w:val="6E3241BE"/>
    <w:rsid w:val="6E9D39F0"/>
    <w:rsid w:val="6EB97A9D"/>
    <w:rsid w:val="6EF10A90"/>
    <w:rsid w:val="6FD45BF8"/>
    <w:rsid w:val="6FFF1868"/>
    <w:rsid w:val="71507435"/>
    <w:rsid w:val="715F4C2D"/>
    <w:rsid w:val="71E40FCE"/>
    <w:rsid w:val="722F78FB"/>
    <w:rsid w:val="723D67C5"/>
    <w:rsid w:val="7250627B"/>
    <w:rsid w:val="72BF60CA"/>
    <w:rsid w:val="72F41282"/>
    <w:rsid w:val="733D0D32"/>
    <w:rsid w:val="73D411F1"/>
    <w:rsid w:val="74CF19FA"/>
    <w:rsid w:val="753811DE"/>
    <w:rsid w:val="757733D9"/>
    <w:rsid w:val="75A7114C"/>
    <w:rsid w:val="75BE67D4"/>
    <w:rsid w:val="75C2004C"/>
    <w:rsid w:val="75C759C1"/>
    <w:rsid w:val="760F5DAE"/>
    <w:rsid w:val="762D64F3"/>
    <w:rsid w:val="767E7EFF"/>
    <w:rsid w:val="775B4604"/>
    <w:rsid w:val="77C067C3"/>
    <w:rsid w:val="782F7DC4"/>
    <w:rsid w:val="78911E31"/>
    <w:rsid w:val="7922350F"/>
    <w:rsid w:val="792B5470"/>
    <w:rsid w:val="79C637D8"/>
    <w:rsid w:val="7A9367CB"/>
    <w:rsid w:val="7AF22571"/>
    <w:rsid w:val="7B69224B"/>
    <w:rsid w:val="7BE80F25"/>
    <w:rsid w:val="7BFA7504"/>
    <w:rsid w:val="7C1C35A7"/>
    <w:rsid w:val="7C45431D"/>
    <w:rsid w:val="7D243E1C"/>
    <w:rsid w:val="7D3219D5"/>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2023-04-10T10:46:03Z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